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08" w:rsidRPr="0056785C" w:rsidRDefault="00E20308" w:rsidP="00E20308">
      <w:pPr>
        <w:rPr>
          <w:rFonts w:ascii="Calibri" w:hAnsi="Calibri"/>
          <w:szCs w:val="28"/>
          <w:lang w:eastAsia="ru-RU"/>
        </w:rPr>
      </w:pPr>
      <w:r w:rsidRPr="0056785C">
        <w:rPr>
          <w:rFonts w:ascii="Calibri" w:hAnsi="Calibri"/>
          <w:noProof/>
          <w:szCs w:val="28"/>
          <w:lang w:eastAsia="ru-RU"/>
        </w:rPr>
        <w:drawing>
          <wp:inline distT="0" distB="0" distL="0" distR="0">
            <wp:extent cx="819150" cy="904875"/>
            <wp:effectExtent l="0" t="0" r="0" b="9525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308" w:rsidRPr="0056785C" w:rsidRDefault="00E20308" w:rsidP="00E20308">
      <w:pPr>
        <w:rPr>
          <w:rFonts w:ascii="Calibri" w:hAnsi="Calibri"/>
          <w:szCs w:val="28"/>
          <w:lang w:eastAsia="ru-RU"/>
        </w:rPr>
      </w:pPr>
    </w:p>
    <w:p w:rsidR="00E20308" w:rsidRPr="0056785C" w:rsidRDefault="00E20308" w:rsidP="00E20308">
      <w:pPr>
        <w:keepNext/>
        <w:numPr>
          <w:ilvl w:val="0"/>
          <w:numId w:val="9"/>
        </w:numPr>
        <w:tabs>
          <w:tab w:val="clear" w:pos="0"/>
        </w:tabs>
        <w:ind w:left="0" w:firstLine="0"/>
        <w:outlineLvl w:val="0"/>
        <w:rPr>
          <w:b/>
          <w:szCs w:val="28"/>
          <w:lang w:eastAsia="ru-RU"/>
        </w:rPr>
      </w:pPr>
      <w:r w:rsidRPr="0056785C">
        <w:rPr>
          <w:b/>
          <w:szCs w:val="28"/>
          <w:lang w:eastAsia="ru-RU"/>
        </w:rPr>
        <w:t>МУНИЦИПАЛЬНОЕ УЧРЕЖДЕНИЕ</w:t>
      </w:r>
    </w:p>
    <w:p w:rsidR="00E20308" w:rsidRDefault="00E20308" w:rsidP="00E20308">
      <w:pPr>
        <w:keepNext/>
        <w:numPr>
          <w:ilvl w:val="0"/>
          <w:numId w:val="9"/>
        </w:numPr>
        <w:tabs>
          <w:tab w:val="clear" w:pos="0"/>
        </w:tabs>
        <w:ind w:left="0" w:firstLine="0"/>
        <w:outlineLvl w:val="0"/>
        <w:rPr>
          <w:b/>
          <w:szCs w:val="28"/>
          <w:lang w:eastAsia="ru-RU"/>
        </w:rPr>
      </w:pPr>
      <w:r w:rsidRPr="0056785C">
        <w:rPr>
          <w:b/>
          <w:szCs w:val="28"/>
          <w:lang w:eastAsia="ru-RU"/>
        </w:rPr>
        <w:t xml:space="preserve">«ОТДЕЛ ОБРАЗОВАНИЯ </w:t>
      </w:r>
      <w:r>
        <w:rPr>
          <w:b/>
          <w:szCs w:val="28"/>
          <w:lang w:eastAsia="ru-RU"/>
        </w:rPr>
        <w:t xml:space="preserve">АДМИНИСТРАЦИИ </w:t>
      </w:r>
    </w:p>
    <w:p w:rsidR="00E20308" w:rsidRPr="0056785C" w:rsidRDefault="00E20308" w:rsidP="00E20308">
      <w:pPr>
        <w:keepNext/>
        <w:numPr>
          <w:ilvl w:val="0"/>
          <w:numId w:val="9"/>
        </w:numPr>
        <w:tabs>
          <w:tab w:val="clear" w:pos="0"/>
        </w:tabs>
        <w:ind w:left="0" w:firstLine="0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МЯСНИКОВСКОГО РАЙО</w:t>
      </w:r>
      <w:r w:rsidRPr="0056785C">
        <w:rPr>
          <w:b/>
          <w:szCs w:val="28"/>
          <w:lang w:eastAsia="ru-RU"/>
        </w:rPr>
        <w:t>НА»</w:t>
      </w:r>
    </w:p>
    <w:p w:rsidR="00E20308" w:rsidRPr="0056785C" w:rsidRDefault="00E20308" w:rsidP="00E20308">
      <w:pPr>
        <w:keepNext/>
        <w:numPr>
          <w:ilvl w:val="0"/>
          <w:numId w:val="9"/>
        </w:numPr>
        <w:tabs>
          <w:tab w:val="clear" w:pos="0"/>
        </w:tabs>
        <w:ind w:left="0" w:firstLine="0"/>
        <w:outlineLvl w:val="0"/>
        <w:rPr>
          <w:b/>
          <w:szCs w:val="28"/>
          <w:lang w:eastAsia="ru-RU"/>
        </w:rPr>
      </w:pPr>
    </w:p>
    <w:p w:rsidR="00E20308" w:rsidRPr="0056785C" w:rsidRDefault="00E20308" w:rsidP="00E20308">
      <w:pPr>
        <w:rPr>
          <w:b/>
          <w:szCs w:val="28"/>
          <w:lang w:eastAsia="ru-RU"/>
        </w:rPr>
      </w:pPr>
    </w:p>
    <w:p w:rsidR="00E20308" w:rsidRPr="0056785C" w:rsidRDefault="00E20308" w:rsidP="00E20308">
      <w:pPr>
        <w:keepNext/>
        <w:outlineLvl w:val="1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ПРИКА</w:t>
      </w:r>
      <w:r w:rsidRPr="0056785C">
        <w:rPr>
          <w:b/>
          <w:szCs w:val="28"/>
          <w:lang w:eastAsia="ru-RU"/>
        </w:rPr>
        <w:t>З</w:t>
      </w:r>
    </w:p>
    <w:p w:rsidR="00E20308" w:rsidRPr="0056785C" w:rsidRDefault="00E20308" w:rsidP="00E20308">
      <w:pPr>
        <w:rPr>
          <w:sz w:val="24"/>
          <w:lang w:eastAsia="ru-RU"/>
        </w:rPr>
      </w:pPr>
    </w:p>
    <w:p w:rsidR="00E20308" w:rsidRPr="0056785C" w:rsidRDefault="00E20308" w:rsidP="00E20308">
      <w:pPr>
        <w:jc w:val="both"/>
        <w:rPr>
          <w:lang w:eastAsia="ru-RU"/>
        </w:rPr>
      </w:pPr>
      <w:r>
        <w:rPr>
          <w:lang w:eastAsia="ru-RU"/>
        </w:rPr>
        <w:t>12 января 2026</w:t>
      </w:r>
      <w:r w:rsidRPr="0056785C">
        <w:rPr>
          <w:lang w:eastAsia="ru-RU"/>
        </w:rPr>
        <w:tab/>
      </w:r>
      <w:r w:rsidRPr="0056785C">
        <w:rPr>
          <w:lang w:eastAsia="ru-RU"/>
        </w:rPr>
        <w:tab/>
      </w:r>
      <w:r w:rsidRPr="0056785C">
        <w:rPr>
          <w:lang w:eastAsia="ru-RU"/>
        </w:rPr>
        <w:tab/>
        <w:t xml:space="preserve">             № </w:t>
      </w:r>
      <w:r>
        <w:rPr>
          <w:lang w:eastAsia="ru-RU"/>
        </w:rPr>
        <w:t>_______</w:t>
      </w:r>
      <w:r w:rsidRPr="0056785C">
        <w:rPr>
          <w:lang w:eastAsia="ru-RU"/>
        </w:rPr>
        <w:t xml:space="preserve">     </w:t>
      </w:r>
      <w:r>
        <w:rPr>
          <w:lang w:eastAsia="ru-RU"/>
        </w:rPr>
        <w:t xml:space="preserve">                   </w:t>
      </w:r>
      <w:r w:rsidRPr="0056785C">
        <w:rPr>
          <w:lang w:eastAsia="ru-RU"/>
        </w:rPr>
        <w:t xml:space="preserve">       с. Чалтырь</w:t>
      </w:r>
    </w:p>
    <w:p w:rsidR="00E20308" w:rsidRPr="0056785C" w:rsidRDefault="00E20308" w:rsidP="00E20308">
      <w:pPr>
        <w:jc w:val="both"/>
        <w:rPr>
          <w:rFonts w:ascii="Calibri" w:hAnsi="Calibri"/>
          <w:sz w:val="22"/>
          <w:lang w:eastAsia="ru-RU"/>
        </w:rPr>
      </w:pPr>
    </w:p>
    <w:p w:rsidR="00E20308" w:rsidRDefault="00E20308" w:rsidP="00E20308">
      <w:pPr>
        <w:rPr>
          <w:b/>
          <w:sz w:val="16"/>
          <w:u w:val="single"/>
        </w:rPr>
      </w:pPr>
    </w:p>
    <w:p w:rsidR="00E20308" w:rsidRPr="00E20308" w:rsidRDefault="00E20308" w:rsidP="00E20308">
      <w:pPr>
        <w:spacing w:after="200"/>
        <w:rPr>
          <w:b/>
          <w:color w:val="000000" w:themeColor="text1"/>
        </w:rPr>
      </w:pPr>
      <w:r w:rsidRPr="00E20308">
        <w:rPr>
          <w:rFonts w:cs="Times New Roman"/>
          <w:b/>
          <w:szCs w:val="28"/>
        </w:rPr>
        <w:t xml:space="preserve">Об утверждении </w:t>
      </w:r>
      <w:r>
        <w:rPr>
          <w:b/>
          <w:color w:val="000000" w:themeColor="text1"/>
        </w:rPr>
        <w:t>П</w:t>
      </w:r>
      <w:r w:rsidRPr="00E20308">
        <w:rPr>
          <w:b/>
          <w:color w:val="000000" w:themeColor="text1"/>
        </w:rPr>
        <w:t>оложени</w:t>
      </w:r>
      <w:r>
        <w:rPr>
          <w:b/>
          <w:color w:val="000000" w:themeColor="text1"/>
        </w:rPr>
        <w:t>я</w:t>
      </w:r>
      <w:r w:rsidRPr="00E20308">
        <w:rPr>
          <w:b/>
          <w:color w:val="000000" w:themeColor="text1"/>
        </w:rPr>
        <w:t xml:space="preserve"> о порядке уведомления </w:t>
      </w:r>
      <w:r>
        <w:rPr>
          <w:b/>
          <w:color w:val="000000" w:themeColor="text1"/>
        </w:rPr>
        <w:t>начальника</w:t>
      </w:r>
      <w:r w:rsidRPr="00E20308">
        <w:rPr>
          <w:b/>
          <w:color w:val="000000" w:themeColor="text1"/>
        </w:rPr>
        <w:t xml:space="preserve"> о фактах обращения в целях</w:t>
      </w:r>
      <w:r w:rsidRPr="00A42444">
        <w:rPr>
          <w:b/>
          <w:color w:val="000000" w:themeColor="text1"/>
        </w:rPr>
        <w:t xml:space="preserve"> склонения к совершению коррупционных правонарушений</w:t>
      </w:r>
      <w:r>
        <w:rPr>
          <w:b/>
          <w:color w:val="000000" w:themeColor="text1"/>
        </w:rPr>
        <w:t xml:space="preserve"> </w:t>
      </w:r>
      <w:r w:rsidRPr="00E20308">
        <w:rPr>
          <w:b/>
          <w:szCs w:val="28"/>
        </w:rPr>
        <w:t>в муниципальном учреждении «Отдел образования Администрации Мясниковского района»</w:t>
      </w:r>
    </w:p>
    <w:p w:rsidR="00E20308" w:rsidRDefault="00E20308" w:rsidP="00E20308">
      <w:pPr>
        <w:pStyle w:val="Con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0308" w:rsidRPr="00DE6183" w:rsidRDefault="00E20308" w:rsidP="004C7666">
      <w:pPr>
        <w:ind w:firstLine="708"/>
        <w:jc w:val="both"/>
        <w:rPr>
          <w:szCs w:val="28"/>
        </w:rPr>
      </w:pPr>
      <w:r w:rsidRPr="00DE6183">
        <w:rPr>
          <w:szCs w:val="28"/>
        </w:rPr>
        <w:t>В целях выявления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государства, учитывая Методические рекомендации по проведению оценки коррупционных рисков, возникающих при реализации функций (письмо Минтруда России от 20.02.2015 г. №18-0/10//П-906), в соответствии с Федеральным законом от 25 декабря 2008 г. № 273-ФЗ «О противодействии коррупции» (ст. 13.3)</w:t>
      </w:r>
    </w:p>
    <w:p w:rsidR="00E20308" w:rsidRDefault="00E20308" w:rsidP="004C7666">
      <w:pPr>
        <w:ind w:firstLine="708"/>
        <w:rPr>
          <w:szCs w:val="28"/>
        </w:rPr>
      </w:pPr>
    </w:p>
    <w:p w:rsidR="00E20308" w:rsidRPr="004C7666" w:rsidRDefault="00E20308" w:rsidP="004C7666">
      <w:pPr>
        <w:ind w:firstLine="708"/>
        <w:rPr>
          <w:rFonts w:ascii="Arial" w:hAnsi="Arial" w:cs="Arial"/>
          <w:b/>
          <w:sz w:val="24"/>
        </w:rPr>
      </w:pPr>
      <w:r w:rsidRPr="004C7666">
        <w:rPr>
          <w:b/>
          <w:sz w:val="24"/>
        </w:rPr>
        <w:t>ПРИКАЗЫВАЮ:</w:t>
      </w:r>
    </w:p>
    <w:p w:rsidR="00E20308" w:rsidRPr="00E20308" w:rsidRDefault="00E20308" w:rsidP="004C7666">
      <w:pPr>
        <w:pStyle w:val="a4"/>
        <w:numPr>
          <w:ilvl w:val="0"/>
          <w:numId w:val="10"/>
        </w:numPr>
        <w:ind w:left="0" w:firstLine="567"/>
        <w:jc w:val="both"/>
        <w:rPr>
          <w:color w:val="000000" w:themeColor="text1"/>
        </w:rPr>
      </w:pPr>
      <w:bookmarkStart w:id="0" w:name="sub_1"/>
      <w:r w:rsidRPr="00E20308">
        <w:rPr>
          <w:szCs w:val="28"/>
        </w:rPr>
        <w:t xml:space="preserve">Утвердить </w:t>
      </w:r>
      <w:r w:rsidRPr="00E20308">
        <w:rPr>
          <w:color w:val="000000" w:themeColor="text1"/>
        </w:rPr>
        <w:t>Положени</w:t>
      </w:r>
      <w:r>
        <w:rPr>
          <w:color w:val="000000" w:themeColor="text1"/>
        </w:rPr>
        <w:t>е</w:t>
      </w:r>
      <w:r w:rsidRPr="00E20308">
        <w:rPr>
          <w:color w:val="000000" w:themeColor="text1"/>
        </w:rPr>
        <w:t xml:space="preserve"> о порядке уведомления начальника о фактах обращения в целях склонения к совершению коррупционных правонарушений</w:t>
      </w:r>
      <w:r w:rsidRPr="00E20308">
        <w:rPr>
          <w:szCs w:val="28"/>
        </w:rPr>
        <w:t xml:space="preserve"> в муниципальном учреждении «Отдел образования Администрации Мясниковского района», согласно приложению №1 к настоящему приказу.</w:t>
      </w:r>
      <w:bookmarkEnd w:id="0"/>
    </w:p>
    <w:p w:rsidR="00E20308" w:rsidRDefault="00E20308" w:rsidP="004C7666">
      <w:pPr>
        <w:ind w:firstLine="567"/>
        <w:jc w:val="both"/>
        <w:rPr>
          <w:szCs w:val="28"/>
        </w:rPr>
      </w:pPr>
      <w:r>
        <w:rPr>
          <w:szCs w:val="28"/>
        </w:rPr>
        <w:t>2. Довести положения настоящего приказа до руководителей образовательных организаций и работников муниципального учреждения «Отдел образования Администрации Мясниковского района».</w:t>
      </w:r>
    </w:p>
    <w:p w:rsidR="00E20308" w:rsidRDefault="004C7666" w:rsidP="004C7666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0308">
        <w:rPr>
          <w:rFonts w:ascii="Times New Roman" w:hAnsi="Times New Roman" w:cs="Times New Roman"/>
          <w:sz w:val="28"/>
          <w:szCs w:val="28"/>
        </w:rPr>
        <w:t>. Контроль исполнения настоящего</w:t>
      </w:r>
      <w:r w:rsidR="00E20308" w:rsidRPr="00871B40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E20308" w:rsidRDefault="00E20308" w:rsidP="00E20308">
      <w:pPr>
        <w:spacing w:line="276" w:lineRule="auto"/>
        <w:rPr>
          <w:rFonts w:ascii="Arial" w:hAnsi="Arial" w:cs="Arial"/>
          <w:sz w:val="24"/>
          <w:szCs w:val="24"/>
        </w:rPr>
      </w:pPr>
    </w:p>
    <w:p w:rsidR="004C7666" w:rsidRDefault="004C7666" w:rsidP="00E20308">
      <w:pPr>
        <w:spacing w:line="276" w:lineRule="auto"/>
        <w:rPr>
          <w:rFonts w:ascii="Arial" w:hAnsi="Arial" w:cs="Arial"/>
          <w:sz w:val="24"/>
          <w:szCs w:val="24"/>
        </w:rPr>
      </w:pPr>
    </w:p>
    <w:p w:rsidR="00E20308" w:rsidRDefault="00E20308" w:rsidP="00E20308">
      <w:pPr>
        <w:tabs>
          <w:tab w:val="left" w:pos="7185"/>
        </w:tabs>
        <w:jc w:val="both"/>
        <w:rPr>
          <w:szCs w:val="28"/>
        </w:rPr>
      </w:pPr>
      <w:r>
        <w:rPr>
          <w:szCs w:val="28"/>
        </w:rPr>
        <w:t xml:space="preserve">Начальник МУ «Отдел </w:t>
      </w:r>
      <w:proofErr w:type="gramStart"/>
      <w:r>
        <w:rPr>
          <w:szCs w:val="28"/>
        </w:rPr>
        <w:t xml:space="preserve">образования»   </w:t>
      </w:r>
      <w:proofErr w:type="gramEnd"/>
      <w:r>
        <w:rPr>
          <w:szCs w:val="28"/>
        </w:rPr>
        <w:t xml:space="preserve">                                           </w:t>
      </w:r>
      <w:proofErr w:type="spellStart"/>
      <w:r>
        <w:rPr>
          <w:szCs w:val="28"/>
        </w:rPr>
        <w:t>А.А.Толохян</w:t>
      </w:r>
      <w:proofErr w:type="spellEnd"/>
    </w:p>
    <w:p w:rsidR="00E20308" w:rsidRDefault="00E20308" w:rsidP="00E20308">
      <w:pPr>
        <w:tabs>
          <w:tab w:val="left" w:pos="8070"/>
        </w:tabs>
        <w:rPr>
          <w:szCs w:val="28"/>
        </w:rPr>
      </w:pPr>
    </w:p>
    <w:p w:rsidR="004C7666" w:rsidRDefault="004C7666" w:rsidP="00E20308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</w:p>
    <w:p w:rsidR="00721ECF" w:rsidRDefault="00721ECF" w:rsidP="00E20308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</w:p>
    <w:p w:rsidR="00E20308" w:rsidRPr="00E20308" w:rsidRDefault="00E20308" w:rsidP="00E20308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  <w:r w:rsidRPr="00E20308">
        <w:rPr>
          <w:rFonts w:eastAsiaTheme="minorHAnsi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rFonts w:eastAsiaTheme="minorHAnsi" w:cs="Times New Roman"/>
          <w:color w:val="000000" w:themeColor="text1"/>
          <w:sz w:val="24"/>
          <w:szCs w:val="24"/>
        </w:rPr>
        <w:t>1</w:t>
      </w:r>
    </w:p>
    <w:p w:rsidR="00E20308" w:rsidRPr="00E20308" w:rsidRDefault="00E20308" w:rsidP="00E20308">
      <w:pPr>
        <w:pStyle w:val="Default"/>
        <w:jc w:val="right"/>
        <w:rPr>
          <w:rFonts w:eastAsia="Times New Roman" w:cs="Calibri"/>
          <w:color w:val="000000" w:themeColor="text1"/>
        </w:rPr>
      </w:pPr>
      <w:r w:rsidRPr="00E20308">
        <w:rPr>
          <w:rFonts w:eastAsia="Times New Roman" w:cs="Calibri"/>
          <w:color w:val="000000" w:themeColor="text1"/>
        </w:rPr>
        <w:t xml:space="preserve">к Приказу МУ «Отдел образования» </w:t>
      </w:r>
    </w:p>
    <w:p w:rsidR="00E20308" w:rsidRPr="00E20308" w:rsidRDefault="00E20308" w:rsidP="00E20308">
      <w:pPr>
        <w:pStyle w:val="Default"/>
        <w:jc w:val="right"/>
        <w:rPr>
          <w:rFonts w:eastAsia="Times New Roman" w:cs="Calibri"/>
          <w:color w:val="000000" w:themeColor="text1"/>
        </w:rPr>
      </w:pPr>
      <w:r w:rsidRPr="00E20308">
        <w:rPr>
          <w:rFonts w:eastAsia="Times New Roman" w:cs="Calibri"/>
          <w:color w:val="000000" w:themeColor="text1"/>
        </w:rPr>
        <w:t xml:space="preserve">от 12.01.2026 №___ </w:t>
      </w:r>
    </w:p>
    <w:p w:rsidR="00E20308" w:rsidRPr="00E20308" w:rsidRDefault="00E20308" w:rsidP="00E20308">
      <w:pPr>
        <w:jc w:val="right"/>
        <w:rPr>
          <w:color w:val="000000" w:themeColor="text1"/>
          <w:sz w:val="24"/>
          <w:szCs w:val="24"/>
        </w:rPr>
      </w:pPr>
    </w:p>
    <w:p w:rsidR="00E20308" w:rsidRDefault="00E20308" w:rsidP="00E20308">
      <w:pPr>
        <w:jc w:val="right"/>
        <w:rPr>
          <w:color w:val="000000" w:themeColor="text1"/>
        </w:rPr>
      </w:pPr>
    </w:p>
    <w:p w:rsidR="005D1FCD" w:rsidRPr="004C7666" w:rsidRDefault="004C7666" w:rsidP="004C7666">
      <w:pPr>
        <w:spacing w:after="200"/>
        <w:rPr>
          <w:b/>
          <w:color w:val="000000" w:themeColor="text1"/>
        </w:rPr>
      </w:pPr>
      <w:r w:rsidRPr="004C7666">
        <w:rPr>
          <w:b/>
          <w:color w:val="000000" w:themeColor="text1"/>
        </w:rPr>
        <w:t>Положение о порядке уведомления начальника о фактах обращения в целях склонения к совершению коррупционных правонарушений в муниципальном учреждении «Отдел образования Администрации Мясниковского района»</w:t>
      </w: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</w:t>
      </w:r>
      <w:r w:rsidR="004C7666" w:rsidRPr="00E20308">
        <w:rPr>
          <w:color w:val="000000" w:themeColor="text1"/>
        </w:rPr>
        <w:t xml:space="preserve">муниципального учреждения «Отдел образования Администрации Мясниковского района» </w:t>
      </w:r>
      <w:r w:rsidRPr="00A42444">
        <w:rPr>
          <w:color w:val="000000" w:themeColor="text1"/>
        </w:rPr>
        <w:t xml:space="preserve">и других локальных актов </w:t>
      </w:r>
      <w:r w:rsidR="004C7666" w:rsidRPr="00E20308">
        <w:rPr>
          <w:color w:val="000000" w:themeColor="text1"/>
        </w:rPr>
        <w:t>муниципального учреждения «Отдел образования Администрации Мясниковского района»</w:t>
      </w:r>
      <w:r w:rsidRPr="00A42444">
        <w:rPr>
          <w:color w:val="000000" w:themeColor="text1"/>
        </w:rPr>
        <w:t>.</w:t>
      </w:r>
    </w:p>
    <w:p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4C7666">
        <w:rPr>
          <w:color w:val="000000" w:themeColor="text1"/>
        </w:rPr>
        <w:t>начальника</w:t>
      </w:r>
      <w:r w:rsidRPr="00A42444">
        <w:rPr>
          <w:color w:val="000000" w:themeColor="text1"/>
        </w:rPr>
        <w:t xml:space="preserve"> </w:t>
      </w:r>
      <w:r w:rsidR="00A3526F" w:rsidRPr="00E20308">
        <w:rPr>
          <w:color w:val="000000" w:themeColor="text1"/>
        </w:rPr>
        <w:t>муниципального учреждения «Отдел образования Администрации Мясниковского района» (далее Учреждение)</w:t>
      </w:r>
      <w:r w:rsidRPr="00E20308">
        <w:rPr>
          <w:color w:val="000000" w:themeColor="text1"/>
        </w:rPr>
        <w:t>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Учреждения. </w:t>
      </w:r>
    </w:p>
    <w:p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>. Работник Учреждения</w:t>
      </w:r>
      <w:r w:rsidRPr="00953161">
        <w:rPr>
          <w:rFonts w:cs="Times New Roman"/>
          <w:color w:val="000000" w:themeColor="text1"/>
        </w:rPr>
        <w:t xml:space="preserve">, не выполнивший обязанность по уведомлению </w:t>
      </w:r>
      <w:r w:rsidR="004C7666">
        <w:rPr>
          <w:rFonts w:cs="Times New Roman"/>
          <w:color w:val="000000" w:themeColor="text1"/>
        </w:rPr>
        <w:t>начальника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4C7666">
        <w:rPr>
          <w:rFonts w:cs="Times New Roman"/>
          <w:b/>
          <w:color w:val="000000" w:themeColor="text1"/>
        </w:rPr>
        <w:t>начальника</w:t>
      </w:r>
      <w:r w:rsidR="00F566E5" w:rsidRPr="00953161">
        <w:rPr>
          <w:rFonts w:cs="Times New Roman"/>
          <w:b/>
          <w:color w:val="000000" w:themeColor="text1"/>
        </w:rPr>
        <w:t xml:space="preserve">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>работника Учреждения</w:t>
      </w:r>
      <w:r w:rsidR="002704C5" w:rsidRPr="00953161">
        <w:rPr>
          <w:rFonts w:cs="Times New Roman"/>
          <w:b/>
          <w:color w:val="000000" w:themeColor="text1"/>
        </w:rPr>
        <w:t xml:space="preserve"> 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4C7666">
        <w:rPr>
          <w:rFonts w:eastAsia="Times New Roman"/>
          <w:color w:val="000000" w:themeColor="text1"/>
          <w:sz w:val="28"/>
          <w:szCs w:val="22"/>
        </w:rPr>
        <w:t>начальника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 xml:space="preserve">по форме, указанной в приложении 1 к настоящему </w:t>
      </w:r>
      <w:r w:rsidR="004C7666">
        <w:rPr>
          <w:rFonts w:eastAsia="Times New Roman"/>
          <w:color w:val="000000" w:themeColor="text1"/>
          <w:sz w:val="28"/>
          <w:szCs w:val="28"/>
        </w:rPr>
        <w:t>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работник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4C766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E203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953161" w:rsidRDefault="006C2B7A" w:rsidP="00E203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E203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953161" w:rsidRDefault="006C2B7A" w:rsidP="00E203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E203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E203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E20308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953161" w:rsidRDefault="007F7136" w:rsidP="00E20308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F258B0" w:rsidRPr="00953161" w:rsidRDefault="00A23609" w:rsidP="00A3526F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4C7666">
        <w:rPr>
          <w:color w:val="000000" w:themeColor="text1"/>
          <w:sz w:val="28"/>
          <w:szCs w:val="28"/>
        </w:rPr>
        <w:t>начальника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подлежит обязательной регистрации.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1C3107" w:rsidRPr="00953161" w:rsidRDefault="008005F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Учреждения </w:t>
      </w:r>
      <w:r w:rsidR="00953161" w:rsidRPr="00953161">
        <w:rPr>
          <w:rFonts w:ascii="Times New Roman" w:hAnsi="Times New Roman" w:cs="Times New Roman"/>
          <w:color w:val="000000" w:themeColor="text1"/>
        </w:rPr>
        <w:t xml:space="preserve">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лично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Лицо, ответственное за работу по профилакти</w:t>
      </w:r>
      <w:r w:rsidR="00A3526F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ке коррупционных </w:t>
      </w:r>
      <w:r w:rsidR="00A3526F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правонарушений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8005F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 </w:t>
      </w:r>
      <w:r w:rsidR="00F03A55" w:rsidRPr="004C7666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Учреждени</w:t>
      </w:r>
      <w:r w:rsidR="00A3526F" w:rsidRPr="004C7666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и</w:t>
      </w:r>
      <w:r w:rsidR="00F03A55" w:rsidRPr="004C7666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хранится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месте, защищенном от несанкционированного доступа.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E20308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E20308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4C7666">
        <w:rPr>
          <w:color w:val="000000" w:themeColor="text1"/>
          <w:sz w:val="28"/>
          <w:szCs w:val="28"/>
        </w:rPr>
        <w:t>начальник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4C7666">
        <w:rPr>
          <w:rFonts w:eastAsia="Times New Roman"/>
          <w:color w:val="000000" w:themeColor="text1"/>
          <w:sz w:val="28"/>
          <w:szCs w:val="22"/>
        </w:rPr>
        <w:t>начальнику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</w:t>
      </w:r>
      <w:r w:rsidR="00F566E5" w:rsidRPr="00953161">
        <w:rPr>
          <w:rFonts w:eastAsia="Calibri" w:cs="Times New Roman"/>
          <w:szCs w:val="28"/>
        </w:rPr>
        <w:lastRenderedPageBreak/>
        <w:t xml:space="preserve">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="004C7666">
        <w:rPr>
          <w:rFonts w:eastAsia="Calibri" w:cs="Times New Roman"/>
          <w:szCs w:val="28"/>
        </w:rPr>
        <w:t>начальника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Барнаулу, Управление Федеральной службы безопасности по Алтайскому краю, не позднее 10 рабочих дней с даты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4C7666">
        <w:rPr>
          <w:rFonts w:eastAsia="Calibri" w:cs="Times New Roman"/>
          <w:szCs w:val="28"/>
        </w:rPr>
        <w:t>начальника</w:t>
      </w:r>
      <w:r w:rsidR="006B04D2" w:rsidRPr="00953161">
        <w:rPr>
          <w:rFonts w:eastAsia="Calibri" w:cs="Times New Roman"/>
          <w:szCs w:val="28"/>
        </w:rPr>
        <w:t xml:space="preserve">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E20308" w:rsidRPr="00E20308" w:rsidRDefault="00E20308" w:rsidP="00E20308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  <w:r w:rsidRPr="00E20308">
        <w:rPr>
          <w:rFonts w:eastAsiaTheme="minorHAnsi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4C7666">
        <w:rPr>
          <w:rFonts w:eastAsiaTheme="minorHAnsi" w:cs="Times New Roman"/>
          <w:color w:val="000000" w:themeColor="text1"/>
          <w:sz w:val="24"/>
          <w:szCs w:val="24"/>
        </w:rPr>
        <w:t>1</w:t>
      </w:r>
    </w:p>
    <w:p w:rsidR="00E20308" w:rsidRPr="00E20308" w:rsidRDefault="00E20308" w:rsidP="004C7666">
      <w:pPr>
        <w:pStyle w:val="Default"/>
        <w:jc w:val="right"/>
        <w:rPr>
          <w:rFonts w:eastAsia="Times New Roman" w:cs="Calibri"/>
          <w:color w:val="000000" w:themeColor="text1"/>
        </w:rPr>
      </w:pPr>
      <w:r w:rsidRPr="00E20308">
        <w:rPr>
          <w:rFonts w:eastAsia="Times New Roman" w:cs="Calibri"/>
          <w:color w:val="000000" w:themeColor="text1"/>
        </w:rPr>
        <w:t xml:space="preserve">к </w:t>
      </w:r>
      <w:r w:rsidR="004C7666">
        <w:rPr>
          <w:rFonts w:eastAsia="Times New Roman" w:cs="Calibri"/>
          <w:color w:val="000000" w:themeColor="text1"/>
        </w:rPr>
        <w:t>настоящему Положению</w:t>
      </w:r>
      <w:r w:rsidRPr="00E20308">
        <w:rPr>
          <w:rFonts w:eastAsia="Times New Roman" w:cs="Calibri"/>
          <w:color w:val="000000" w:themeColor="text1"/>
        </w:rPr>
        <w:t xml:space="preserve"> </w:t>
      </w:r>
    </w:p>
    <w:p w:rsidR="00E20308" w:rsidRPr="00E20308" w:rsidRDefault="00E20308" w:rsidP="00E20308">
      <w:pPr>
        <w:jc w:val="right"/>
        <w:rPr>
          <w:color w:val="000000" w:themeColor="text1"/>
          <w:sz w:val="24"/>
          <w:szCs w:val="24"/>
        </w:rPr>
      </w:pP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923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</w:t>
            </w:r>
            <w:r w:rsidR="004C7666">
              <w:rPr>
                <w:color w:val="000000" w:themeColor="text1"/>
                <w:sz w:val="26"/>
                <w:szCs w:val="26"/>
                <w:vertAlign w:val="superscript"/>
              </w:rPr>
              <w:t>начальника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721ECF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Уведомляю о факте обращения в целях склонения меня к коррупционному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721ECF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721ECF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721ECF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производилось в целях осуществления мною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721ECF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721ECF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A3526F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Выгода, преследуемая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Учреждения,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6. Склонение к правонарушению производилось ______________________________________________________________</w:t>
      </w:r>
    </w:p>
    <w:p w:rsidR="009B5142" w:rsidRPr="00A42444" w:rsidRDefault="009B5142" w:rsidP="00721ECF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A3526F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721ECF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Для разбирательства по существу представляют 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интерес следующие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721EC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721EC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721ECF">
      <w:pPr>
        <w:ind w:firstLine="567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E20308" w:rsidRDefault="00785674" w:rsidP="00785674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  <w:r w:rsidRPr="00E20308">
        <w:rPr>
          <w:rFonts w:eastAsiaTheme="minorHAnsi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4C7666">
        <w:rPr>
          <w:rFonts w:eastAsiaTheme="minorHAnsi" w:cs="Times New Roman"/>
          <w:color w:val="000000" w:themeColor="text1"/>
          <w:sz w:val="24"/>
          <w:szCs w:val="24"/>
        </w:rPr>
        <w:t>2</w:t>
      </w:r>
    </w:p>
    <w:p w:rsidR="00AA0046" w:rsidRDefault="00837A72" w:rsidP="004C7666">
      <w:pPr>
        <w:pStyle w:val="Default"/>
        <w:jc w:val="right"/>
        <w:rPr>
          <w:rFonts w:eastAsia="Times New Roman" w:cs="Calibri"/>
          <w:color w:val="000000" w:themeColor="text1"/>
        </w:rPr>
      </w:pPr>
      <w:r w:rsidRPr="00E20308">
        <w:rPr>
          <w:rFonts w:eastAsia="Times New Roman" w:cs="Calibri"/>
          <w:color w:val="000000" w:themeColor="text1"/>
        </w:rPr>
        <w:t xml:space="preserve">к </w:t>
      </w:r>
      <w:r w:rsidR="004C7666">
        <w:rPr>
          <w:rFonts w:eastAsia="Times New Roman" w:cs="Calibri"/>
          <w:color w:val="000000" w:themeColor="text1"/>
        </w:rPr>
        <w:t>Положению</w:t>
      </w:r>
      <w:r w:rsidR="00AA0046">
        <w:rPr>
          <w:rFonts w:eastAsia="Times New Roman" w:cs="Calibri"/>
          <w:color w:val="000000" w:themeColor="text1"/>
        </w:rPr>
        <w:t xml:space="preserve"> </w:t>
      </w:r>
      <w:r w:rsidR="00AA0046" w:rsidRPr="00AA0046">
        <w:rPr>
          <w:rFonts w:eastAsia="Times New Roman" w:cs="Calibri"/>
          <w:color w:val="000000" w:themeColor="text1"/>
        </w:rPr>
        <w:t xml:space="preserve">о порядке уведомления </w:t>
      </w:r>
    </w:p>
    <w:p w:rsidR="00AA0046" w:rsidRDefault="00AA0046" w:rsidP="004C7666">
      <w:pPr>
        <w:pStyle w:val="Default"/>
        <w:jc w:val="right"/>
        <w:rPr>
          <w:rFonts w:eastAsia="Times New Roman" w:cs="Calibri"/>
          <w:color w:val="000000" w:themeColor="text1"/>
        </w:rPr>
      </w:pPr>
      <w:r w:rsidRPr="00AA0046">
        <w:rPr>
          <w:rFonts w:eastAsia="Times New Roman" w:cs="Calibri"/>
          <w:color w:val="000000" w:themeColor="text1"/>
        </w:rPr>
        <w:t>начальника о фактах обращения в целях склонения к совершению</w:t>
      </w:r>
    </w:p>
    <w:p w:rsidR="00AA0046" w:rsidRDefault="00AA0046" w:rsidP="004C7666">
      <w:pPr>
        <w:pStyle w:val="Default"/>
        <w:jc w:val="right"/>
        <w:rPr>
          <w:rFonts w:eastAsia="Times New Roman" w:cs="Calibri"/>
          <w:color w:val="000000" w:themeColor="text1"/>
        </w:rPr>
      </w:pPr>
      <w:r w:rsidRPr="00AA0046">
        <w:rPr>
          <w:rFonts w:eastAsia="Times New Roman" w:cs="Calibri"/>
          <w:color w:val="000000" w:themeColor="text1"/>
        </w:rPr>
        <w:t xml:space="preserve"> коррупционных правонарушений в муниципальном учреждении </w:t>
      </w:r>
    </w:p>
    <w:p w:rsidR="00837A72" w:rsidRPr="00E20308" w:rsidRDefault="00AA0046" w:rsidP="004C7666">
      <w:pPr>
        <w:pStyle w:val="Default"/>
        <w:jc w:val="right"/>
        <w:rPr>
          <w:rFonts w:eastAsia="Times New Roman" w:cs="Calibri"/>
          <w:color w:val="000000" w:themeColor="text1"/>
        </w:rPr>
      </w:pPr>
      <w:r w:rsidRPr="00AA0046">
        <w:rPr>
          <w:rFonts w:eastAsia="Times New Roman" w:cs="Calibri"/>
          <w:color w:val="000000" w:themeColor="text1"/>
        </w:rPr>
        <w:t>«Отдел образования Администрации Мясниковского района»</w:t>
      </w:r>
    </w:p>
    <w:p w:rsidR="00785674" w:rsidRPr="00E20308" w:rsidRDefault="00785674" w:rsidP="00785674">
      <w:pPr>
        <w:jc w:val="right"/>
        <w:rPr>
          <w:color w:val="000000" w:themeColor="text1"/>
          <w:sz w:val="24"/>
          <w:szCs w:val="24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A3526F">
        <w:rPr>
          <w:b/>
          <w:color w:val="000000" w:themeColor="text1"/>
          <w:sz w:val="28"/>
          <w:szCs w:val="28"/>
        </w:rPr>
        <w:t>Учреждения</w:t>
      </w:r>
      <w:r w:rsidRPr="00953161">
        <w:rPr>
          <w:color w:val="000000" w:themeColor="text1"/>
          <w:sz w:val="28"/>
          <w:szCs w:val="28"/>
        </w:rPr>
        <w:t xml:space="preserve"> </w:t>
      </w: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bookmarkStart w:id="1" w:name="_GoBack"/>
      <w:bookmarkEnd w:id="1"/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FA014B"/>
    <w:multiLevelType w:val="multilevel"/>
    <w:tmpl w:val="F4D66974"/>
    <w:lvl w:ilvl="0">
      <w:start w:val="1"/>
      <w:numFmt w:val="decimal"/>
      <w:lvlText w:val="%1."/>
      <w:lvlJc w:val="left"/>
      <w:pPr>
        <w:ind w:left="2480" w:hanging="495"/>
      </w:pPr>
      <w:rPr>
        <w:rFonts w:ascii="Times New Roman" w:eastAsia="Times New Roman" w:hAnsi="Times New Roman" w:cs="Calibri"/>
      </w:rPr>
    </w:lvl>
    <w:lvl w:ilvl="1">
      <w:start w:val="3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349A6"/>
    <w:rsid w:val="000578E9"/>
    <w:rsid w:val="000C6D17"/>
    <w:rsid w:val="0011191B"/>
    <w:rsid w:val="001712C9"/>
    <w:rsid w:val="0018374D"/>
    <w:rsid w:val="0019351B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830CB"/>
    <w:rsid w:val="004C6A51"/>
    <w:rsid w:val="004C7666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21ECF"/>
    <w:rsid w:val="00752C2C"/>
    <w:rsid w:val="00785674"/>
    <w:rsid w:val="00786306"/>
    <w:rsid w:val="00797A68"/>
    <w:rsid w:val="007A716C"/>
    <w:rsid w:val="007A742C"/>
    <w:rsid w:val="007F0C83"/>
    <w:rsid w:val="007F7136"/>
    <w:rsid w:val="008005F5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3526F"/>
    <w:rsid w:val="00A42444"/>
    <w:rsid w:val="00A46401"/>
    <w:rsid w:val="00A54B87"/>
    <w:rsid w:val="00AA0046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308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67E2"/>
  <w15:docId w15:val="{732194AF-A120-4F2A-93CE-1B550FA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E20308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b/>
      <w:sz w:val="20"/>
      <w:szCs w:val="20"/>
      <w:lang w:eastAsia="ar-SA"/>
    </w:rPr>
  </w:style>
  <w:style w:type="paragraph" w:customStyle="1" w:styleId="ConsNormal">
    <w:name w:val="ConsNormal"/>
    <w:rsid w:val="00E20308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1</cp:lastModifiedBy>
  <cp:revision>4</cp:revision>
  <cp:lastPrinted>2026-02-16T07:53:00Z</cp:lastPrinted>
  <dcterms:created xsi:type="dcterms:W3CDTF">2026-02-18T08:17:00Z</dcterms:created>
  <dcterms:modified xsi:type="dcterms:W3CDTF">2026-02-19T08:47:00Z</dcterms:modified>
</cp:coreProperties>
</file>